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rPr>
          <w:rFonts w:ascii="Arial" w:hAnsi="Arial" w:eastAsia="宋体" w:cs="Arial"/>
          <w:b/>
          <w:sz w:val="24"/>
          <w:szCs w:val="24"/>
          <w:lang w:eastAsia="zh-CN"/>
        </w:rPr>
        <w:t>94bis-e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R4-2004001</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20</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30 Apr.,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On definition of TCI chain</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4.9.1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In RAN4 94-e, some company brought up the issue of the definition of TCI chain in RAN4 spec in paper [1]. Discussions during last meeting were focused on the depth of TCI chain and also the definition of TCI chain.</w:t>
      </w:r>
    </w:p>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r>
        <w:rPr>
          <w:rFonts w:hint="eastAsia" w:eastAsia="宋体"/>
          <w:sz w:val="22"/>
          <w:szCs w:val="22"/>
          <w:lang w:val="en-US" w:eastAsia="zh-CN"/>
        </w:rPr>
        <w:t>In this paper we provide our view on this topic.</w:t>
      </w:r>
    </w:p>
    <w:p>
      <w:pPr>
        <w:pStyle w:val="28"/>
        <w:jc w:val="both"/>
        <w:rPr>
          <w:rFonts w:hint="default" w:eastAsia="宋体"/>
          <w:lang w:val="en-US" w:eastAsia="zh-CN"/>
        </w:rPr>
      </w:pPr>
      <w:r>
        <w:t>2</w:t>
      </w:r>
      <w:r>
        <w:tab/>
      </w:r>
      <w:r>
        <w:rPr>
          <w:rFonts w:hint="eastAsia"/>
          <w:lang w:val="en-US" w:eastAsia="zh-CN"/>
        </w:rPr>
        <w:t>TCI chain</w:t>
      </w:r>
    </w:p>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r>
        <w:rPr>
          <w:rFonts w:hint="eastAsia" w:eastAsia="宋体"/>
          <w:sz w:val="22"/>
          <w:szCs w:val="22"/>
          <w:lang w:val="en-US" w:eastAsia="zh-CN"/>
        </w:rPr>
        <w:t>The current text in TS 38.133 is copied below.</w:t>
      </w:r>
    </w:p>
    <w:tbl>
      <w:tblPr>
        <w:tblStyle w:val="19"/>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47" w:type="dxa"/>
          </w:tcPr>
          <w:p>
            <w:pPr>
              <w:pStyle w:val="62"/>
              <w:rPr>
                <w:sz w:val="28"/>
                <w:szCs w:val="28"/>
                <w:lang w:val="en-GB"/>
              </w:rPr>
            </w:pPr>
            <w:r>
              <w:rPr>
                <w:sz w:val="28"/>
                <w:szCs w:val="28"/>
                <w:lang w:val="en-GB"/>
              </w:rPr>
              <w:t>3.6.7  Applicability of QCL</w:t>
            </w:r>
          </w:p>
          <w:p>
            <w:pPr>
              <w:pStyle w:val="62"/>
              <w:rPr>
                <w:rFonts w:ascii="Times New Roman" w:hAnsi="Times New Roman" w:cs="Times New Roman"/>
                <w:sz w:val="20"/>
                <w:szCs w:val="20"/>
                <w:lang w:val="en-GB"/>
              </w:rPr>
            </w:pPr>
          </w:p>
          <w:p>
            <w:pPr>
              <w:pStyle w:val="62"/>
              <w:rPr>
                <w:sz w:val="20"/>
                <w:szCs w:val="20"/>
                <w:lang w:val="en-GB"/>
              </w:rPr>
            </w:pPr>
            <w:r>
              <w:rPr>
                <w:rFonts w:ascii="Times New Roman" w:hAnsi="Times New Roman" w:cs="Times New Roman"/>
                <w:sz w:val="20"/>
                <w:szCs w:val="20"/>
                <w:lang w:val="en-GB"/>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p>
          <w:p>
            <w:pPr>
              <w:pStyle w:val="62"/>
              <w:rPr>
                <w:rFonts w:ascii="Times New Roman" w:hAnsi="Times New Roman" w:cs="Times New Roman"/>
                <w:sz w:val="20"/>
                <w:szCs w:val="20"/>
                <w:lang w:val="en-GB"/>
              </w:rPr>
            </w:pPr>
          </w:p>
          <w:p>
            <w:pPr>
              <w:pStyle w:val="62"/>
              <w:rPr>
                <w:sz w:val="20"/>
                <w:szCs w:val="20"/>
                <w:highlight w:val="green"/>
                <w:lang w:val="en-GB"/>
              </w:rPr>
            </w:pPr>
            <w:r>
              <w:rPr>
                <w:rFonts w:ascii="Times New Roman" w:hAnsi="Times New Roman" w:cs="Times New Roman"/>
                <w:sz w:val="20"/>
                <w:szCs w:val="20"/>
                <w:highlight w:val="green"/>
                <w:lang w:val="en-GB"/>
              </w:rPr>
              <w:t xml:space="preserve">A TCI chain consists of an SSB, and one or more CSI-RS resources, and the TCI state of each Reference Signal includes another Reference Signal in the same TCI chain. </w:t>
            </w:r>
          </w:p>
          <w:p>
            <w:pPr>
              <w:rPr>
                <w:rFonts w:ascii="Times New Roman" w:hAnsi="Times New Roman" w:cs="Times New Roman"/>
                <w:sz w:val="20"/>
                <w:szCs w:val="20"/>
                <w:lang w:val="en-GB"/>
              </w:rPr>
            </w:pPr>
          </w:p>
          <w:p>
            <w:pPr>
              <w:numPr>
                <w:ilvl w:val="0"/>
                <w:numId w:val="0"/>
              </w:numPr>
              <w:overflowPunct w:val="0"/>
              <w:autoSpaceDE w:val="0"/>
              <w:autoSpaceDN w:val="0"/>
              <w:adjustRightInd w:val="0"/>
              <w:spacing w:after="0" w:line="240" w:lineRule="auto"/>
              <w:ind w:firstLine="200" w:firstLineChars="100"/>
              <w:jc w:val="both"/>
              <w:rPr>
                <w:rFonts w:ascii="Calibri" w:hAnsi="Calibri" w:eastAsia="宋体" w:cs="Arial"/>
                <w:lang w:val="en-US" w:eastAsia="zh-CN"/>
              </w:rPr>
            </w:pPr>
            <w:r>
              <w:rPr>
                <w:rFonts w:ascii="Times New Roman" w:hAnsi="Times New Roman" w:cs="Times New Roman"/>
                <w:sz w:val="20"/>
                <w:szCs w:val="20"/>
                <w:lang w:val="en-GB"/>
              </w:rPr>
              <w:t>DMRS of PDCCH or PDSCH is QCLed with the reference signal in its active TCI state and any other reference signal that is QCLed, based on above criteria, with the reference signal in the active TCI state.</w:t>
            </w:r>
          </w:p>
        </w:tc>
      </w:tr>
    </w:tbl>
    <w:p>
      <w:pPr>
        <w:rPr>
          <w:rFonts w:hint="default" w:eastAsia="宋体"/>
          <w:sz w:val="22"/>
          <w:szCs w:val="22"/>
          <w:lang w:val="en-US" w:eastAsia="zh-CN"/>
        </w:rPr>
      </w:pPr>
      <w:r>
        <w:rPr>
          <w:rFonts w:hint="eastAsia" w:eastAsia="宋体"/>
          <w:sz w:val="22"/>
          <w:szCs w:val="22"/>
          <w:lang w:val="en-US" w:eastAsia="zh-CN"/>
        </w:rPr>
        <w:t xml:space="preserve">Since the concept of </w:t>
      </w:r>
      <w:r>
        <w:rPr>
          <w:rFonts w:hint="default" w:eastAsia="宋体"/>
          <w:sz w:val="22"/>
          <w:szCs w:val="22"/>
          <w:lang w:val="en-US" w:eastAsia="zh-CN"/>
        </w:rPr>
        <w:t>“</w:t>
      </w:r>
      <w:r>
        <w:rPr>
          <w:rFonts w:hint="eastAsia" w:eastAsia="宋体"/>
          <w:sz w:val="22"/>
          <w:szCs w:val="22"/>
          <w:lang w:val="en-US" w:eastAsia="zh-CN"/>
        </w:rPr>
        <w:t>TCI chain</w:t>
      </w:r>
      <w:r>
        <w:rPr>
          <w:rFonts w:hint="default" w:eastAsia="宋体"/>
          <w:sz w:val="22"/>
          <w:szCs w:val="22"/>
          <w:lang w:val="en-US" w:eastAsia="zh-CN"/>
        </w:rPr>
        <w:t>”</w:t>
      </w:r>
      <w:r>
        <w:rPr>
          <w:rFonts w:hint="eastAsia" w:eastAsia="宋体"/>
          <w:sz w:val="22"/>
          <w:szCs w:val="22"/>
          <w:lang w:val="en-US" w:eastAsia="zh-CN"/>
        </w:rPr>
        <w:t xml:space="preserve"> is only defined in RAN4 spec TS 38.133, in this paper we will take the text highlighted in green as the definition of TCI chain. With this definition, it</w:t>
      </w:r>
      <w:r>
        <w:rPr>
          <w:rFonts w:hint="default" w:eastAsia="宋体"/>
          <w:sz w:val="22"/>
          <w:szCs w:val="22"/>
          <w:lang w:val="en-US" w:eastAsia="zh-CN"/>
        </w:rPr>
        <w:t>’</w:t>
      </w:r>
      <w:r>
        <w:rPr>
          <w:rFonts w:hint="eastAsia" w:eastAsia="宋体"/>
          <w:sz w:val="22"/>
          <w:szCs w:val="22"/>
          <w:lang w:val="en-US" w:eastAsia="zh-CN"/>
        </w:rPr>
        <w:t>s not reasonable to allow multiple QCL types in one TCI chain since only one SSB is allowed in one TCI chain.</w:t>
      </w:r>
    </w:p>
    <w:p>
      <w:pPr>
        <w:pStyle w:val="40"/>
        <w:rPr>
          <w:rFonts w:hint="default" w:eastAsia="宋体"/>
          <w:sz w:val="22"/>
          <w:szCs w:val="22"/>
          <w:lang w:val="en-US" w:eastAsia="zh-CN"/>
        </w:rPr>
      </w:pPr>
      <w:r>
        <w:rPr>
          <w:rFonts w:hint="eastAsia" w:eastAsia="宋体"/>
          <w:sz w:val="22"/>
          <w:szCs w:val="22"/>
          <w:lang w:val="en-US" w:eastAsia="zh-CN"/>
        </w:rPr>
        <w:t>With the current definition, it</w:t>
      </w:r>
      <w:r>
        <w:rPr>
          <w:rFonts w:hint="default" w:eastAsia="宋体"/>
          <w:sz w:val="22"/>
          <w:szCs w:val="22"/>
          <w:lang w:val="en-US" w:eastAsia="zh-CN"/>
        </w:rPr>
        <w:t>’</w:t>
      </w:r>
      <w:r>
        <w:rPr>
          <w:rFonts w:hint="eastAsia" w:eastAsia="宋体"/>
          <w:sz w:val="22"/>
          <w:szCs w:val="22"/>
          <w:lang w:val="en-US" w:eastAsia="zh-CN"/>
        </w:rPr>
        <w:t>s not reasonable to allow multiple QCL types in one TCI chain.</w:t>
      </w:r>
    </w:p>
    <w:p>
      <w:pPr>
        <w:rPr>
          <w:rFonts w:hint="default" w:eastAsia="宋体" w:cs="v4.2.0"/>
          <w:sz w:val="22"/>
          <w:szCs w:val="22"/>
          <w:vertAlign w:val="baseline"/>
          <w:lang w:val="en-US" w:eastAsia="zh-CN"/>
        </w:rPr>
      </w:pPr>
      <w:r>
        <w:rPr>
          <w:rFonts w:hint="eastAsia" w:eastAsia="宋体" w:cs="v4.2.0"/>
          <w:sz w:val="22"/>
          <w:szCs w:val="22"/>
          <w:vertAlign w:val="baseline"/>
          <w:lang w:val="en-US" w:eastAsia="zh-CN"/>
        </w:rPr>
        <w:t>Since there is no other definition of TCI chains, RAN4 can define TCI chain without worrying about not being consistent with other specs. So, when defining TCI chain, it</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 xml:space="preserve">s desirable to have a thorough discussion internally in RAN4 and resolve all possible issues. Of course RAN4 can define TCI chain in multiple ways, we propose to have a definition which has lowest level of specification impact. Thus, at this stage, we propose to clarify that </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A TCI chain comprises of a single QCL Type.</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 xml:space="preserve"> This will hopefully clear the confusion with minimum impact on current specification.</w:t>
      </w:r>
      <w:bookmarkStart w:id="4" w:name="_GoBack"/>
      <w:bookmarkEnd w:id="4"/>
    </w:p>
    <w:p>
      <w:pPr>
        <w:pStyle w:val="36"/>
        <w:rPr>
          <w:rFonts w:hint="default" w:eastAsia="宋体" w:cs="v4.2.0"/>
          <w:sz w:val="22"/>
          <w:szCs w:val="22"/>
          <w:vertAlign w:val="baseline"/>
          <w:lang w:val="en-US" w:eastAsia="zh-CN"/>
        </w:rPr>
      </w:pPr>
      <w:r>
        <w:rPr>
          <w:rFonts w:hint="eastAsia" w:eastAsia="宋体" w:cs="v4.2.0"/>
          <w:sz w:val="22"/>
          <w:szCs w:val="22"/>
          <w:vertAlign w:val="baseline"/>
          <w:lang w:val="en-US" w:eastAsia="zh-CN"/>
        </w:rPr>
        <w:t xml:space="preserve">Clarify in the specification that </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A TCI chain comprises of a single QCL Type.</w:t>
      </w:r>
      <w:r>
        <w:rPr>
          <w:rFonts w:hint="default" w:eastAsia="宋体" w:cs="v4.2.0"/>
          <w:sz w:val="22"/>
          <w:szCs w:val="22"/>
          <w:vertAlign w:val="baseline"/>
          <w:lang w:val="en-US" w:eastAsia="zh-CN"/>
        </w:rPr>
        <w:t>”</w:t>
      </w:r>
    </w:p>
    <w:p>
      <w:pPr>
        <w:pStyle w:val="28"/>
        <w:jc w:val="both"/>
      </w:pPr>
      <w:r>
        <w:rPr>
          <w:rFonts w:hint="eastAsia"/>
          <w:lang w:val="en-US" w:eastAsia="zh-CN"/>
        </w:rPr>
        <w:t>3</w:t>
      </w:r>
      <w:r>
        <w:tab/>
      </w:r>
      <w:r>
        <w:t>Conclusion</w:t>
      </w:r>
    </w:p>
    <w:p>
      <w:pPr>
        <w:pStyle w:val="30"/>
        <w:keepNext w:val="0"/>
        <w:keepLines w:val="0"/>
        <w:pageBreakBefore w:val="0"/>
        <w:widowControl/>
        <w:numPr>
          <w:ilvl w:val="0"/>
          <w:numId w:val="6"/>
        </w:numPr>
        <w:kinsoku/>
        <w:wordWrap/>
        <w:overflowPunct/>
        <w:topLinePunct w:val="0"/>
        <w:autoSpaceDE/>
        <w:autoSpaceDN/>
        <w:bidi w:val="0"/>
        <w:adjustRightInd/>
        <w:snapToGrid/>
        <w:spacing w:line="260" w:lineRule="auto"/>
        <w:ind w:left="0" w:firstLine="0"/>
        <w:textAlignment w:val="auto"/>
        <w:outlineLvl w:val="9"/>
        <w:rPr>
          <w:sz w:val="22"/>
          <w:szCs w:val="22"/>
        </w:rPr>
      </w:pPr>
      <w:r>
        <w:rPr>
          <w:rFonts w:hint="eastAsia" w:eastAsia="宋体"/>
          <w:sz w:val="22"/>
          <w:szCs w:val="22"/>
          <w:lang w:val="en-US" w:eastAsia="zh-CN"/>
        </w:rPr>
        <w:t>With the current definition, it</w:t>
      </w:r>
      <w:r>
        <w:rPr>
          <w:rFonts w:hint="default" w:eastAsia="宋体"/>
          <w:sz w:val="22"/>
          <w:szCs w:val="22"/>
          <w:lang w:val="en-US" w:eastAsia="zh-CN"/>
        </w:rPr>
        <w:t>’</w:t>
      </w:r>
      <w:r>
        <w:rPr>
          <w:rFonts w:hint="eastAsia" w:eastAsia="宋体"/>
          <w:sz w:val="22"/>
          <w:szCs w:val="22"/>
          <w:lang w:val="en-US" w:eastAsia="zh-CN"/>
        </w:rPr>
        <w:t>s not reasonable to allow multiple QCL types in one TCI chain.</w:t>
      </w:r>
    </w:p>
    <w:p>
      <w:pPr>
        <w:pStyle w:val="36"/>
        <w:numPr>
          <w:ilvl w:val="0"/>
          <w:numId w:val="0"/>
        </w:numPr>
        <w:ind w:leftChars="0"/>
        <w:rPr>
          <w:rFonts w:hint="eastAsia"/>
          <w:sz w:val="22"/>
          <w:szCs w:val="22"/>
          <w:lang w:val="en-US" w:eastAsia="zh-CN"/>
        </w:rPr>
      </w:pPr>
      <w:r>
        <w:rPr>
          <w:rFonts w:hint="eastAsia"/>
          <w:sz w:val="22"/>
          <w:szCs w:val="22"/>
          <w:lang w:val="en-US" w:eastAsia="zh-CN"/>
        </w:rPr>
        <w:t xml:space="preserve">Proposal 1: </w:t>
      </w:r>
      <w:r>
        <w:rPr>
          <w:rFonts w:hint="eastAsia" w:eastAsia="宋体" w:cs="v4.2.0"/>
          <w:sz w:val="22"/>
          <w:szCs w:val="22"/>
          <w:vertAlign w:val="baseline"/>
          <w:lang w:val="en-US" w:eastAsia="zh-CN"/>
        </w:rPr>
        <w:t xml:space="preserve">Clarify in the specification that </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A TCI chain comprises of a single QCL Type.</w:t>
      </w:r>
      <w:r>
        <w:rPr>
          <w:rFonts w:hint="default" w:eastAsia="宋体" w:cs="v4.2.0"/>
          <w:sz w:val="22"/>
          <w:szCs w:val="22"/>
          <w:vertAlign w:val="baseline"/>
          <w:lang w:val="en-US" w:eastAsia="zh-CN"/>
        </w:rPr>
        <w:t>”</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lang w:val="en-GB"/>
        </w:rPr>
      </w:pPr>
      <w:r>
        <w:rPr>
          <w:bCs/>
          <w:sz w:val="24"/>
          <w:szCs w:val="24"/>
          <w:lang w:val="en-GB"/>
        </w:rPr>
        <w:t>R4-2001329</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1"/>
    <w:lvlOverride w:ilvl="0">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448FD"/>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3EDF"/>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660D4"/>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16EDC"/>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1184"/>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9788D"/>
    <w:rsid w:val="016E368C"/>
    <w:rsid w:val="017B5E4B"/>
    <w:rsid w:val="018D054D"/>
    <w:rsid w:val="01FF08B3"/>
    <w:rsid w:val="026B051B"/>
    <w:rsid w:val="02B274E2"/>
    <w:rsid w:val="02C25D33"/>
    <w:rsid w:val="03186FA1"/>
    <w:rsid w:val="03C6506D"/>
    <w:rsid w:val="03F37217"/>
    <w:rsid w:val="04C77D0A"/>
    <w:rsid w:val="04D5204C"/>
    <w:rsid w:val="059B61E4"/>
    <w:rsid w:val="05A86143"/>
    <w:rsid w:val="06105DAC"/>
    <w:rsid w:val="062F1DED"/>
    <w:rsid w:val="069766CC"/>
    <w:rsid w:val="07502CA2"/>
    <w:rsid w:val="078B76F8"/>
    <w:rsid w:val="079C29C7"/>
    <w:rsid w:val="079D410C"/>
    <w:rsid w:val="07D45C41"/>
    <w:rsid w:val="07ED2976"/>
    <w:rsid w:val="080661C8"/>
    <w:rsid w:val="08641205"/>
    <w:rsid w:val="0868025F"/>
    <w:rsid w:val="0873226E"/>
    <w:rsid w:val="08935729"/>
    <w:rsid w:val="08C654D4"/>
    <w:rsid w:val="08CC5D10"/>
    <w:rsid w:val="091F5E03"/>
    <w:rsid w:val="092C45E6"/>
    <w:rsid w:val="099F556C"/>
    <w:rsid w:val="09C640C3"/>
    <w:rsid w:val="0A501D38"/>
    <w:rsid w:val="0A5763D4"/>
    <w:rsid w:val="0A684C4F"/>
    <w:rsid w:val="0A7BF868"/>
    <w:rsid w:val="0AC12B88"/>
    <w:rsid w:val="0B2F05F5"/>
    <w:rsid w:val="0B38708C"/>
    <w:rsid w:val="0B7322DC"/>
    <w:rsid w:val="0BA02FC9"/>
    <w:rsid w:val="0BB77882"/>
    <w:rsid w:val="0BD17A34"/>
    <w:rsid w:val="0C3566BC"/>
    <w:rsid w:val="0C391535"/>
    <w:rsid w:val="0C3C5307"/>
    <w:rsid w:val="0C56263C"/>
    <w:rsid w:val="0C5E2B8A"/>
    <w:rsid w:val="0D102274"/>
    <w:rsid w:val="0D8B1463"/>
    <w:rsid w:val="0DA958CA"/>
    <w:rsid w:val="0DC9088C"/>
    <w:rsid w:val="0DF104D3"/>
    <w:rsid w:val="0E1C586B"/>
    <w:rsid w:val="0E5237AB"/>
    <w:rsid w:val="0ED138E6"/>
    <w:rsid w:val="0EED584B"/>
    <w:rsid w:val="0F67780F"/>
    <w:rsid w:val="0F8F3C2A"/>
    <w:rsid w:val="0FB648CB"/>
    <w:rsid w:val="0FD0731A"/>
    <w:rsid w:val="0FF1533A"/>
    <w:rsid w:val="0FFE0AFA"/>
    <w:rsid w:val="10A34D44"/>
    <w:rsid w:val="10AA3C13"/>
    <w:rsid w:val="10CD0B75"/>
    <w:rsid w:val="110C4D24"/>
    <w:rsid w:val="122017FC"/>
    <w:rsid w:val="128409CA"/>
    <w:rsid w:val="12BB3A94"/>
    <w:rsid w:val="12EF585C"/>
    <w:rsid w:val="12FA21C3"/>
    <w:rsid w:val="130A066D"/>
    <w:rsid w:val="13262572"/>
    <w:rsid w:val="136D11EC"/>
    <w:rsid w:val="137D50D6"/>
    <w:rsid w:val="139B3B65"/>
    <w:rsid w:val="13D36053"/>
    <w:rsid w:val="13F75352"/>
    <w:rsid w:val="1480544B"/>
    <w:rsid w:val="14B36B91"/>
    <w:rsid w:val="158A4F5A"/>
    <w:rsid w:val="164F667E"/>
    <w:rsid w:val="165D0583"/>
    <w:rsid w:val="16654289"/>
    <w:rsid w:val="16A740F6"/>
    <w:rsid w:val="16DB79C9"/>
    <w:rsid w:val="16F76B11"/>
    <w:rsid w:val="17141F2D"/>
    <w:rsid w:val="17A076C4"/>
    <w:rsid w:val="17A62BCE"/>
    <w:rsid w:val="17C22275"/>
    <w:rsid w:val="17E826AB"/>
    <w:rsid w:val="18D3414F"/>
    <w:rsid w:val="18D91924"/>
    <w:rsid w:val="19A96435"/>
    <w:rsid w:val="1A0B3A21"/>
    <w:rsid w:val="1B1547E1"/>
    <w:rsid w:val="1B3329B5"/>
    <w:rsid w:val="1B7F155B"/>
    <w:rsid w:val="1C6134BE"/>
    <w:rsid w:val="1C6A6128"/>
    <w:rsid w:val="1D1F1294"/>
    <w:rsid w:val="1D354E67"/>
    <w:rsid w:val="1E8806BC"/>
    <w:rsid w:val="1E9B2F1B"/>
    <w:rsid w:val="1EA137E3"/>
    <w:rsid w:val="1EE66AFB"/>
    <w:rsid w:val="1F0936F5"/>
    <w:rsid w:val="1F17474D"/>
    <w:rsid w:val="1F2B10F9"/>
    <w:rsid w:val="1F711839"/>
    <w:rsid w:val="200D067C"/>
    <w:rsid w:val="20811B82"/>
    <w:rsid w:val="20A662B2"/>
    <w:rsid w:val="21091739"/>
    <w:rsid w:val="211451D0"/>
    <w:rsid w:val="2151075A"/>
    <w:rsid w:val="2170262B"/>
    <w:rsid w:val="21807FBC"/>
    <w:rsid w:val="219E74A3"/>
    <w:rsid w:val="21CD19D4"/>
    <w:rsid w:val="220539DF"/>
    <w:rsid w:val="22571B82"/>
    <w:rsid w:val="22920D1D"/>
    <w:rsid w:val="22C0245E"/>
    <w:rsid w:val="22F45493"/>
    <w:rsid w:val="230B25C1"/>
    <w:rsid w:val="23514077"/>
    <w:rsid w:val="23855295"/>
    <w:rsid w:val="23B20773"/>
    <w:rsid w:val="23CF6D67"/>
    <w:rsid w:val="244F4BD6"/>
    <w:rsid w:val="248F188B"/>
    <w:rsid w:val="24BC3350"/>
    <w:rsid w:val="24E91488"/>
    <w:rsid w:val="25077EC5"/>
    <w:rsid w:val="25151459"/>
    <w:rsid w:val="25630107"/>
    <w:rsid w:val="25962669"/>
    <w:rsid w:val="25C20278"/>
    <w:rsid w:val="2618297D"/>
    <w:rsid w:val="262D62D9"/>
    <w:rsid w:val="26443720"/>
    <w:rsid w:val="26681CAB"/>
    <w:rsid w:val="267E5FCE"/>
    <w:rsid w:val="26B35BAC"/>
    <w:rsid w:val="27170CDE"/>
    <w:rsid w:val="27572E0B"/>
    <w:rsid w:val="280C272A"/>
    <w:rsid w:val="28352D10"/>
    <w:rsid w:val="284E33F7"/>
    <w:rsid w:val="287A3770"/>
    <w:rsid w:val="289E07C9"/>
    <w:rsid w:val="291141AD"/>
    <w:rsid w:val="293606FA"/>
    <w:rsid w:val="29517179"/>
    <w:rsid w:val="29E7086A"/>
    <w:rsid w:val="2A1219AD"/>
    <w:rsid w:val="2A394321"/>
    <w:rsid w:val="2AE26D3F"/>
    <w:rsid w:val="2AF8774D"/>
    <w:rsid w:val="2B0F6E62"/>
    <w:rsid w:val="2B2B7A87"/>
    <w:rsid w:val="2B4E55E6"/>
    <w:rsid w:val="2B7579C5"/>
    <w:rsid w:val="2B76094A"/>
    <w:rsid w:val="2B920B79"/>
    <w:rsid w:val="2BB04900"/>
    <w:rsid w:val="2C3A3275"/>
    <w:rsid w:val="2C495744"/>
    <w:rsid w:val="2CEE6B8D"/>
    <w:rsid w:val="2D233DAE"/>
    <w:rsid w:val="2D8E403A"/>
    <w:rsid w:val="2E0770FA"/>
    <w:rsid w:val="2E145F76"/>
    <w:rsid w:val="2EA86D09"/>
    <w:rsid w:val="2F32226B"/>
    <w:rsid w:val="2F376D10"/>
    <w:rsid w:val="2F596601"/>
    <w:rsid w:val="2FA231C5"/>
    <w:rsid w:val="308B65F2"/>
    <w:rsid w:val="3117229F"/>
    <w:rsid w:val="31395268"/>
    <w:rsid w:val="313B7383"/>
    <w:rsid w:val="318A102B"/>
    <w:rsid w:val="31950F1B"/>
    <w:rsid w:val="31A50177"/>
    <w:rsid w:val="320F0A18"/>
    <w:rsid w:val="32227D1D"/>
    <w:rsid w:val="32351CB2"/>
    <w:rsid w:val="324554E5"/>
    <w:rsid w:val="325D2B5A"/>
    <w:rsid w:val="327661FC"/>
    <w:rsid w:val="3288676B"/>
    <w:rsid w:val="32A12F92"/>
    <w:rsid w:val="32B33B5A"/>
    <w:rsid w:val="32EE27B2"/>
    <w:rsid w:val="33245EFA"/>
    <w:rsid w:val="33372789"/>
    <w:rsid w:val="333876C2"/>
    <w:rsid w:val="33484A1E"/>
    <w:rsid w:val="335F47E9"/>
    <w:rsid w:val="346E4104"/>
    <w:rsid w:val="3476470C"/>
    <w:rsid w:val="34D83C16"/>
    <w:rsid w:val="34D87C7B"/>
    <w:rsid w:val="34FA5652"/>
    <w:rsid w:val="3509315E"/>
    <w:rsid w:val="351A4CC6"/>
    <w:rsid w:val="35F16798"/>
    <w:rsid w:val="36B51724"/>
    <w:rsid w:val="37705F34"/>
    <w:rsid w:val="377700B0"/>
    <w:rsid w:val="37846083"/>
    <w:rsid w:val="37AF7036"/>
    <w:rsid w:val="37D05804"/>
    <w:rsid w:val="380927B5"/>
    <w:rsid w:val="3876150B"/>
    <w:rsid w:val="39073059"/>
    <w:rsid w:val="392739EA"/>
    <w:rsid w:val="392D38AD"/>
    <w:rsid w:val="3946679B"/>
    <w:rsid w:val="39925150"/>
    <w:rsid w:val="399A43EA"/>
    <w:rsid w:val="39E04A77"/>
    <w:rsid w:val="3A0F1960"/>
    <w:rsid w:val="3A166029"/>
    <w:rsid w:val="3A23663F"/>
    <w:rsid w:val="3A364B42"/>
    <w:rsid w:val="3AF216E5"/>
    <w:rsid w:val="3B02469B"/>
    <w:rsid w:val="3B30671A"/>
    <w:rsid w:val="3B5662AC"/>
    <w:rsid w:val="3C4F6AF8"/>
    <w:rsid w:val="3C727D51"/>
    <w:rsid w:val="3CCC387D"/>
    <w:rsid w:val="3CCE203C"/>
    <w:rsid w:val="3D0C1655"/>
    <w:rsid w:val="3D4E48C8"/>
    <w:rsid w:val="3D77737D"/>
    <w:rsid w:val="3DC04E13"/>
    <w:rsid w:val="3DD244E7"/>
    <w:rsid w:val="3E5B41D6"/>
    <w:rsid w:val="3ECE16FA"/>
    <w:rsid w:val="3F072EB0"/>
    <w:rsid w:val="3F112CE5"/>
    <w:rsid w:val="3FF55768"/>
    <w:rsid w:val="40566CBF"/>
    <w:rsid w:val="405B0BEF"/>
    <w:rsid w:val="407921CE"/>
    <w:rsid w:val="40C04FE0"/>
    <w:rsid w:val="4117526A"/>
    <w:rsid w:val="416D11E1"/>
    <w:rsid w:val="41AA7137"/>
    <w:rsid w:val="41EC58FB"/>
    <w:rsid w:val="42381A71"/>
    <w:rsid w:val="426B0C9E"/>
    <w:rsid w:val="42841694"/>
    <w:rsid w:val="429266C7"/>
    <w:rsid w:val="42AF1322"/>
    <w:rsid w:val="42B30ACF"/>
    <w:rsid w:val="42E73C10"/>
    <w:rsid w:val="430903EA"/>
    <w:rsid w:val="43140EC2"/>
    <w:rsid w:val="43EE582E"/>
    <w:rsid w:val="43F92766"/>
    <w:rsid w:val="43FB3DA4"/>
    <w:rsid w:val="44022066"/>
    <w:rsid w:val="441C4006"/>
    <w:rsid w:val="449E489D"/>
    <w:rsid w:val="44B24294"/>
    <w:rsid w:val="451019FB"/>
    <w:rsid w:val="455B13AC"/>
    <w:rsid w:val="45CF3CD0"/>
    <w:rsid w:val="45D95F13"/>
    <w:rsid w:val="460567D8"/>
    <w:rsid w:val="462F25DF"/>
    <w:rsid w:val="46620161"/>
    <w:rsid w:val="477A6D83"/>
    <w:rsid w:val="47C304FD"/>
    <w:rsid w:val="47C357A6"/>
    <w:rsid w:val="47D77F02"/>
    <w:rsid w:val="487C3875"/>
    <w:rsid w:val="489059E6"/>
    <w:rsid w:val="48977283"/>
    <w:rsid w:val="48FA3778"/>
    <w:rsid w:val="49896512"/>
    <w:rsid w:val="4996414B"/>
    <w:rsid w:val="49BA3D71"/>
    <w:rsid w:val="4A2F7724"/>
    <w:rsid w:val="4A5C70F1"/>
    <w:rsid w:val="4AB61A05"/>
    <w:rsid w:val="4AF26B9D"/>
    <w:rsid w:val="4BB65435"/>
    <w:rsid w:val="4BCE1489"/>
    <w:rsid w:val="4BEA1EE4"/>
    <w:rsid w:val="4BFB2D49"/>
    <w:rsid w:val="4C293566"/>
    <w:rsid w:val="4C723787"/>
    <w:rsid w:val="4CF05EAC"/>
    <w:rsid w:val="4D102CB4"/>
    <w:rsid w:val="4D1463CD"/>
    <w:rsid w:val="4D9E609E"/>
    <w:rsid w:val="4E0243C8"/>
    <w:rsid w:val="4E170FC7"/>
    <w:rsid w:val="4EA61F19"/>
    <w:rsid w:val="4EB053BD"/>
    <w:rsid w:val="4FBC6FAF"/>
    <w:rsid w:val="4FC37410"/>
    <w:rsid w:val="4FDC68F3"/>
    <w:rsid w:val="50005DA1"/>
    <w:rsid w:val="502A6272"/>
    <w:rsid w:val="5041435B"/>
    <w:rsid w:val="50564CCA"/>
    <w:rsid w:val="505A1CB0"/>
    <w:rsid w:val="50911EAF"/>
    <w:rsid w:val="509778C7"/>
    <w:rsid w:val="511E1DE8"/>
    <w:rsid w:val="514D66AE"/>
    <w:rsid w:val="5154719F"/>
    <w:rsid w:val="51773E2A"/>
    <w:rsid w:val="51C53170"/>
    <w:rsid w:val="52702E41"/>
    <w:rsid w:val="5280421D"/>
    <w:rsid w:val="52A51D80"/>
    <w:rsid w:val="52BF27F0"/>
    <w:rsid w:val="52DB2793"/>
    <w:rsid w:val="52FC10E1"/>
    <w:rsid w:val="535E62F0"/>
    <w:rsid w:val="5361709F"/>
    <w:rsid w:val="53705401"/>
    <w:rsid w:val="53752E8D"/>
    <w:rsid w:val="53832E83"/>
    <w:rsid w:val="53A74DC7"/>
    <w:rsid w:val="53C44BEA"/>
    <w:rsid w:val="53D45151"/>
    <w:rsid w:val="540D782C"/>
    <w:rsid w:val="54221908"/>
    <w:rsid w:val="542835DF"/>
    <w:rsid w:val="542F1421"/>
    <w:rsid w:val="544B51D2"/>
    <w:rsid w:val="544D013B"/>
    <w:rsid w:val="546C32BA"/>
    <w:rsid w:val="55352F87"/>
    <w:rsid w:val="5553143F"/>
    <w:rsid w:val="55B42DC5"/>
    <w:rsid w:val="56E81135"/>
    <w:rsid w:val="56FF2A90"/>
    <w:rsid w:val="57221ADC"/>
    <w:rsid w:val="573B229E"/>
    <w:rsid w:val="578545C8"/>
    <w:rsid w:val="57FF7814"/>
    <w:rsid w:val="586B2608"/>
    <w:rsid w:val="58E20C36"/>
    <w:rsid w:val="592D7AE2"/>
    <w:rsid w:val="593554F0"/>
    <w:rsid w:val="59C007BC"/>
    <w:rsid w:val="5A3078C5"/>
    <w:rsid w:val="5AAC4CA7"/>
    <w:rsid w:val="5ADF3A74"/>
    <w:rsid w:val="5AE53367"/>
    <w:rsid w:val="5B0B0083"/>
    <w:rsid w:val="5B5559A3"/>
    <w:rsid w:val="5BC0364C"/>
    <w:rsid w:val="5BC3228B"/>
    <w:rsid w:val="5C3B1FEA"/>
    <w:rsid w:val="5C6A01BF"/>
    <w:rsid w:val="5C9D5A80"/>
    <w:rsid w:val="5D041ECD"/>
    <w:rsid w:val="5E2D4C21"/>
    <w:rsid w:val="5EE41E2E"/>
    <w:rsid w:val="5EF92809"/>
    <w:rsid w:val="5F025A64"/>
    <w:rsid w:val="5F0F00DA"/>
    <w:rsid w:val="5F520F91"/>
    <w:rsid w:val="5F5E6814"/>
    <w:rsid w:val="5F9622E3"/>
    <w:rsid w:val="60017F85"/>
    <w:rsid w:val="601E0521"/>
    <w:rsid w:val="6045086B"/>
    <w:rsid w:val="6068085A"/>
    <w:rsid w:val="60745B63"/>
    <w:rsid w:val="61051332"/>
    <w:rsid w:val="614B3FC4"/>
    <w:rsid w:val="62302F88"/>
    <w:rsid w:val="62812953"/>
    <w:rsid w:val="62B7743E"/>
    <w:rsid w:val="64116858"/>
    <w:rsid w:val="648D5222"/>
    <w:rsid w:val="64A33C21"/>
    <w:rsid w:val="64B2258D"/>
    <w:rsid w:val="64D35246"/>
    <w:rsid w:val="65596380"/>
    <w:rsid w:val="65997784"/>
    <w:rsid w:val="65C64C37"/>
    <w:rsid w:val="65C65264"/>
    <w:rsid w:val="661E18B5"/>
    <w:rsid w:val="66AB371C"/>
    <w:rsid w:val="66AE1192"/>
    <w:rsid w:val="66C26880"/>
    <w:rsid w:val="66CA69C3"/>
    <w:rsid w:val="67A81CBF"/>
    <w:rsid w:val="67DA4215"/>
    <w:rsid w:val="67E42DFA"/>
    <w:rsid w:val="680A09E1"/>
    <w:rsid w:val="6837438D"/>
    <w:rsid w:val="6860443E"/>
    <w:rsid w:val="68EB3ADC"/>
    <w:rsid w:val="69462386"/>
    <w:rsid w:val="6A2870D5"/>
    <w:rsid w:val="6A7016FE"/>
    <w:rsid w:val="6AC66DB8"/>
    <w:rsid w:val="6AFC6812"/>
    <w:rsid w:val="6B4942AC"/>
    <w:rsid w:val="6B4E0765"/>
    <w:rsid w:val="6B5E2EC6"/>
    <w:rsid w:val="6C26718E"/>
    <w:rsid w:val="6C42065A"/>
    <w:rsid w:val="6C6F44FD"/>
    <w:rsid w:val="6CD4731D"/>
    <w:rsid w:val="6D121910"/>
    <w:rsid w:val="6D3205F0"/>
    <w:rsid w:val="6DB702B4"/>
    <w:rsid w:val="6E1766F0"/>
    <w:rsid w:val="6E504618"/>
    <w:rsid w:val="6EB20078"/>
    <w:rsid w:val="6F5579D7"/>
    <w:rsid w:val="6F801AF8"/>
    <w:rsid w:val="6F8906F0"/>
    <w:rsid w:val="6F8D5AAE"/>
    <w:rsid w:val="6FFF59CB"/>
    <w:rsid w:val="70160759"/>
    <w:rsid w:val="70200B37"/>
    <w:rsid w:val="70336F79"/>
    <w:rsid w:val="7037013D"/>
    <w:rsid w:val="704E4A67"/>
    <w:rsid w:val="70995673"/>
    <w:rsid w:val="70A27F1E"/>
    <w:rsid w:val="70AA0AC2"/>
    <w:rsid w:val="70EA7511"/>
    <w:rsid w:val="71112353"/>
    <w:rsid w:val="71143E21"/>
    <w:rsid w:val="71AF43AC"/>
    <w:rsid w:val="72867A39"/>
    <w:rsid w:val="72C82EA5"/>
    <w:rsid w:val="72EE3608"/>
    <w:rsid w:val="7327462F"/>
    <w:rsid w:val="732F59FD"/>
    <w:rsid w:val="732F7900"/>
    <w:rsid w:val="734B5574"/>
    <w:rsid w:val="7355417D"/>
    <w:rsid w:val="736C3FBB"/>
    <w:rsid w:val="73A85DC8"/>
    <w:rsid w:val="73C32C41"/>
    <w:rsid w:val="74573DE9"/>
    <w:rsid w:val="749900DE"/>
    <w:rsid w:val="74D53B99"/>
    <w:rsid w:val="75206F1B"/>
    <w:rsid w:val="753A7704"/>
    <w:rsid w:val="754C1AAF"/>
    <w:rsid w:val="75A12878"/>
    <w:rsid w:val="75C63BA1"/>
    <w:rsid w:val="76761DE7"/>
    <w:rsid w:val="76991F3B"/>
    <w:rsid w:val="76D8737F"/>
    <w:rsid w:val="76E279D7"/>
    <w:rsid w:val="772E0626"/>
    <w:rsid w:val="7752184A"/>
    <w:rsid w:val="7754709D"/>
    <w:rsid w:val="776E285A"/>
    <w:rsid w:val="779E3171"/>
    <w:rsid w:val="77B02D8D"/>
    <w:rsid w:val="77C0093D"/>
    <w:rsid w:val="77C90B9C"/>
    <w:rsid w:val="78384CBC"/>
    <w:rsid w:val="784258BF"/>
    <w:rsid w:val="78654C62"/>
    <w:rsid w:val="78F44922"/>
    <w:rsid w:val="793758F2"/>
    <w:rsid w:val="79763A57"/>
    <w:rsid w:val="79DC6C3F"/>
    <w:rsid w:val="79ED4DBE"/>
    <w:rsid w:val="7A250260"/>
    <w:rsid w:val="7A787ECB"/>
    <w:rsid w:val="7A8B51CB"/>
    <w:rsid w:val="7AB507FA"/>
    <w:rsid w:val="7AC634CB"/>
    <w:rsid w:val="7AD2745F"/>
    <w:rsid w:val="7C3A7105"/>
    <w:rsid w:val="7C41564D"/>
    <w:rsid w:val="7C8E16C9"/>
    <w:rsid w:val="7CB358D9"/>
    <w:rsid w:val="7CB561C0"/>
    <w:rsid w:val="7CCC277F"/>
    <w:rsid w:val="7CE3033A"/>
    <w:rsid w:val="7D0A2590"/>
    <w:rsid w:val="7D155693"/>
    <w:rsid w:val="7D54493D"/>
    <w:rsid w:val="7D550752"/>
    <w:rsid w:val="7D6A7A29"/>
    <w:rsid w:val="7D965346"/>
    <w:rsid w:val="7DCA3349"/>
    <w:rsid w:val="7DCC5A45"/>
    <w:rsid w:val="7E8B6D0C"/>
    <w:rsid w:val="7F285EA4"/>
    <w:rsid w:val="7F787EDB"/>
    <w:rsid w:val="7FDD5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8"/>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2">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rPr>
      <w:sz w:val="24"/>
    </w:rPr>
  </w:style>
  <w:style w:type="paragraph" w:styleId="17">
    <w:name w:val="annotation subject"/>
    <w:basedOn w:val="7"/>
    <w:next w:val="7"/>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2"/>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1"/>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7"/>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8"/>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5355</Characters>
  <Lines>44</Lines>
  <Paragraphs>12</Paragraphs>
  <TotalTime>0</TotalTime>
  <ScaleCrop>false</ScaleCrop>
  <LinksUpToDate>false</LinksUpToDate>
  <CharactersWithSpaces>6220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2020-04-10T10:41:17Z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